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Krokom kommunfullmäktige</w:t>
      </w:r>
    </w:p>
    <w:p>
      <w:pPr>
        <w:pStyle w:val="Heading1"/>
      </w:pPr>
      <w:r>
        <w:t xml:space="preserve">Förenkla bygglovsprocessen för småföretag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Centerpartiet i Krokom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Svenskt Näringsliv 2025 rankar Krokom lågt i handläggningstider. Långa tider hämmar nystartade företag inom besöksnäring och hantverk. Enklare regler gynnar hela kommunen.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Centerpartiet i Krokom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om en maxgräns på 6 veckor för bygglovsärenden under 300 kvm.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inför digital ansökningsportal med e-tjänster för småföretag.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sänker bygglovsavgifterna med 30 % för företag med färre än 10 anställda.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ger byggnadsnämnden i uppdrag att redovisa handläggningstider kvartalsvis.</w:t>
      </w:r>
    </w:p>
    <w:p>
      <w:pPr>
        <w:spacing w:before="360"/>
      </w:pPr>
    </w:p>
    <w:p>
      <w:r>
        <w:t xml:space="preserve">Krokom,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Centerpartiet i Krokom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2026-07-14T00:31:23.578Z</dcterms:created>
  <dcterms:modified xsi:type="dcterms:W3CDTF">2026-07-14T00:31:23.578Z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